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9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919"/>
        <w:gridCol w:w="2118"/>
        <w:gridCol w:w="2872"/>
        <w:gridCol w:w="2833"/>
        <w:gridCol w:w="3158"/>
      </w:tblGrid>
      <w:tr w:rsidR="003A0F18" w:rsidTr="00FC6ADE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00FFFF"/>
          </w:tcPr>
          <w:p w:rsidR="003A0F18" w:rsidRDefault="003A0F18" w:rsidP="00FC6ADE">
            <w:pPr>
              <w:pageBreakBefore/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AREA SPECIFICA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981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00FFFF"/>
          </w:tcPr>
          <w:p w:rsidR="003A0F18" w:rsidRDefault="003A0F18" w:rsidP="00FC6ADE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A0F18" w:rsidRDefault="003A0F18" w:rsidP="00FC6ADE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GESTIONE DOCUMENTALE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  <w:proofErr w:type="gramEnd"/>
          </w:p>
          <w:p w:rsidR="003A0F18" w:rsidRDefault="003A0F18" w:rsidP="00FC6ADE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A0F18" w:rsidRDefault="003A0F18" w:rsidP="00FC6AD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A0F18" w:rsidTr="00FC6ADE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Processi e procedimenti rilevanti </w:t>
            </w:r>
          </w:p>
        </w:tc>
        <w:tc>
          <w:tcPr>
            <w:tcW w:w="2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Individuazione fattori di rischio</w:t>
            </w:r>
          </w:p>
        </w:tc>
        <w:tc>
          <w:tcPr>
            <w:tcW w:w="2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Anomalie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significative</w:t>
            </w:r>
            <w:proofErr w:type="gramEnd"/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Indicatori </w:t>
            </w:r>
          </w:p>
        </w:tc>
        <w:tc>
          <w:tcPr>
            <w:tcW w:w="2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Misure di prevenzione</w:t>
            </w:r>
          </w:p>
        </w:tc>
        <w:tc>
          <w:tcPr>
            <w:tcW w:w="31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Eventuale tempistica per attuazione delle misure </w:t>
            </w:r>
          </w:p>
        </w:tc>
      </w:tr>
      <w:tr w:rsidR="003A0F18" w:rsidTr="00FC6ADE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Rilascio documenti </w:t>
            </w:r>
          </w:p>
        </w:tc>
        <w:tc>
          <w:tcPr>
            <w:tcW w:w="2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favoritismi</w:t>
            </w:r>
            <w:proofErr w:type="gramEnd"/>
          </w:p>
        </w:tc>
        <w:tc>
          <w:tcPr>
            <w:tcW w:w="2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Documenti rilasciati senza il rispetto dell’ordine cronologico delle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istanze</w:t>
            </w:r>
            <w:proofErr w:type="gramEnd"/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Presenza di contestazioni 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Ritardi </w:t>
            </w:r>
          </w:p>
        </w:tc>
        <w:tc>
          <w:tcPr>
            <w:tcW w:w="2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Rigorosa gestione cronologica di tutti i procedimenti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Motivazione ragioni del mancato rispetto dell’ordine temporale di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richiesta</w:t>
            </w:r>
            <w:proofErr w:type="gramEnd"/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1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Indagini di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customer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satisfaction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tra gli utenti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2018</w:t>
            </w:r>
          </w:p>
        </w:tc>
      </w:tr>
      <w:tr w:rsidR="003A0F18" w:rsidTr="00FC6ADE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Protocollazione  e conservazione atti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2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Artificiosa sottrazione di documenti </w:t>
            </w:r>
          </w:p>
        </w:tc>
        <w:tc>
          <w:tcPr>
            <w:tcW w:w="2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Smarrimento documenti 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Accertamento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di disfunzioni ad uffici ed utenti 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Presenza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di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istanze di 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>sollecito di adempimenti</w:t>
            </w:r>
          </w:p>
        </w:tc>
        <w:tc>
          <w:tcPr>
            <w:tcW w:w="2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>Eliminazione progressiva di tutto il cartaceo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Protocollazione immediata del documento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ed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assegnazione 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Creazione dei fascicoli informatici 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>Direttive del RPCT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Corsi di formazione del personale e utilizzo del software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gestionale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Individuazione personale sostitutivo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31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Assegnazione specifici obiettivi di performance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A0F18" w:rsidTr="00FC6ADE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lastRenderedPageBreak/>
              <w:t>Gestione atti deliberativi</w:t>
            </w:r>
            <w:proofErr w:type="gramEnd"/>
          </w:p>
        </w:tc>
        <w:tc>
          <w:tcPr>
            <w:tcW w:w="2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Adozione di provvedimenti difformi dalla volontà manifestata dagli organi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collegiali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Presenza di contestazioni, ricorsi 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Mancata o tardiva pubblicazione 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Difformità tra proposte e atti pubblicati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Omessa trasmissione ai capigruppo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Predisposizione proposte entro congruo termine esclusivamente mediante l’applicativo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gestionale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,complete di tutti i pareri debitamente sottoscritti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Espressa adozione di atti di rettifica su provvedimenti pubblicati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Divieto di manomissione dei provvedimenti adottati senza formale provvedimento di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rettifica</w:t>
            </w:r>
            <w:proofErr w:type="gramEnd"/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Immediata trasmissione ai capigruppo consiliari nello stesso giorno di 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 xml:space="preserve">pubblicazione 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1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>Controlli da parte del segretario comunale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Pubblicazione integrale di tutti i provvedimenti su Amministrazione trasparente </w:t>
            </w:r>
          </w:p>
        </w:tc>
      </w:tr>
      <w:tr w:rsidR="003A0F18" w:rsidTr="00FC6ADE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lastRenderedPageBreak/>
              <w:t>Gestione determinazioni</w:t>
            </w:r>
          </w:p>
        </w:tc>
        <w:tc>
          <w:tcPr>
            <w:tcW w:w="2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Artificioso annullamento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di provvedimenti adottati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Prenotazione di numeri di atti senza indicazione dell’oggetto al fine di rispettare i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termini</w:t>
            </w:r>
            <w:proofErr w:type="gramEnd"/>
          </w:p>
        </w:tc>
        <w:tc>
          <w:tcPr>
            <w:tcW w:w="2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Presenza di contestazioni, ricorsi 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Mancata o tardiva pubblicazione 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Nel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gestionale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indicare , per ogni provvedimento eventualmente annullato, nel campo testo,  il provvedimento di rettifica e/o annullamento successivo  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Non devono essere prenotati atti senza l’indicazione precisa dell’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oggetto</w:t>
            </w:r>
            <w:proofErr w:type="gramEnd"/>
          </w:p>
        </w:tc>
        <w:tc>
          <w:tcPr>
            <w:tcW w:w="31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Controlli di regolarità in fase successiva</w:t>
            </w:r>
          </w:p>
        </w:tc>
      </w:tr>
      <w:tr w:rsidR="003A0F18" w:rsidTr="00FC6ADE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Gestione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atti pubblici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e scritture private</w:t>
            </w:r>
          </w:p>
        </w:tc>
        <w:tc>
          <w:tcPr>
            <w:tcW w:w="2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Errata o artificiosa quantificazione delle spese contrattuali a carico dei contraenti 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Acquisizione </w:t>
            </w:r>
            <w:r w:rsidRPr="005B6186">
              <w:rPr>
                <w:rFonts w:ascii="Times New Roman" w:hAnsi="Times New Roman"/>
                <w:i/>
                <w:sz w:val="24"/>
                <w:szCs w:val="24"/>
                <w:lang w:eastAsia="it-IT"/>
              </w:rPr>
              <w:t xml:space="preserve">brevi </w:t>
            </w:r>
            <w:proofErr w:type="spellStart"/>
            <w:r w:rsidRPr="005B6186">
              <w:rPr>
                <w:rFonts w:ascii="Times New Roman" w:hAnsi="Times New Roman"/>
                <w:i/>
                <w:sz w:val="24"/>
                <w:szCs w:val="24"/>
                <w:lang w:eastAsia="it-IT"/>
              </w:rPr>
              <w:t>manu</w:t>
            </w:r>
            <w:proofErr w:type="spellEnd"/>
            <w:proofErr w:type="gramStart"/>
            <w:r w:rsidRPr="005B6186">
              <w:rPr>
                <w:rFonts w:ascii="Times New Roman" w:hAnsi="Times New Roman"/>
                <w:i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di versamenti e/o marche da bollo </w:t>
            </w:r>
          </w:p>
        </w:tc>
        <w:tc>
          <w:tcPr>
            <w:tcW w:w="2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Presenza di contestazioni, richieste di rimborso 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Ogni provvedimento di richiesta di spese contrattuali deve essere trasmesso preventivamente all’ufficiale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rogante</w:t>
            </w:r>
            <w:proofErr w:type="gramEnd"/>
          </w:p>
        </w:tc>
        <w:tc>
          <w:tcPr>
            <w:tcW w:w="31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Ogni responsabile deve adottare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apposita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determina di accertamento dell’entrata e impegno della spesa specifico, da trasmettere all’ufficiale rogante e al servizio finanziario (direttiva già inoltrata a tutti i responsabili)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Copia di tutte le ricevute dovrà essere prodotta in fase di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stipula</w:t>
            </w:r>
            <w:proofErr w:type="gramEnd"/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Ogni Area deve istituire il 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>proprio registro delle scritture private.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Il Responsabile anticorruzione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effettuerà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controlli a campione 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A0F18" w:rsidTr="00FC6ADE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lastRenderedPageBreak/>
              <w:t>Pubblicazione obbligatoria di atti in generale</w:t>
            </w:r>
          </w:p>
        </w:tc>
        <w:tc>
          <w:tcPr>
            <w:tcW w:w="2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omissione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di pubblicazioni obbligatorie o dati pubblicati volutamente incompleti</w:t>
            </w:r>
          </w:p>
        </w:tc>
        <w:tc>
          <w:tcPr>
            <w:tcW w:w="2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Ingiusti vantaggi o svantaggi a favore di cittadini e imprese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  <w:proofErr w:type="gramEnd"/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Richieste di accesso civico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Applicazione sanzioni </w:t>
            </w:r>
          </w:p>
        </w:tc>
        <w:tc>
          <w:tcPr>
            <w:tcW w:w="2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Informatizzazione di tutti gli atti amministrativi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ed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automatico travaso all’albo pretorio e nella sezione amministrazione trasparente 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Rigorosa gestione cronologica di tutti i procedimenti </w:t>
            </w:r>
          </w:p>
        </w:tc>
        <w:tc>
          <w:tcPr>
            <w:tcW w:w="31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Strandardizzazione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e informatizzazione di tutte le procedure</w:t>
            </w:r>
          </w:p>
          <w:p w:rsidR="003A0F18" w:rsidRDefault="003A0F18" w:rsidP="00FC6AD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:rsidR="003A0F18" w:rsidRDefault="003A0F18" w:rsidP="003A0F18"/>
    <w:p w:rsidR="00ED629C" w:rsidRDefault="00ED629C">
      <w:bookmarkStart w:id="0" w:name="_GoBack"/>
      <w:bookmarkEnd w:id="0"/>
    </w:p>
    <w:sectPr w:rsidR="00ED629C" w:rsidSect="00146892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F18"/>
    <w:rsid w:val="003A0F18"/>
    <w:rsid w:val="00ED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A0F18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A0F18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Baule</dc:creator>
  <cp:lastModifiedBy>Natalina Baule</cp:lastModifiedBy>
  <cp:revision>1</cp:revision>
  <dcterms:created xsi:type="dcterms:W3CDTF">2019-01-04T11:46:00Z</dcterms:created>
  <dcterms:modified xsi:type="dcterms:W3CDTF">2019-01-04T11:47:00Z</dcterms:modified>
</cp:coreProperties>
</file>